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F940EB">
        <w:rPr>
          <w:rFonts w:ascii="Times New Roman" w:eastAsia="Times New Roman" w:hAnsi="Times New Roman" w:cs="Times New Roman"/>
          <w:b/>
          <w:sz w:val="20"/>
          <w:szCs w:val="20"/>
        </w:rPr>
        <w:t xml:space="preserve"> Art Criticism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Description of </w:t>
            </w:r>
          </w:p>
          <w:p w:rsidR="005F651C" w:rsidRPr="002B72E1" w:rsidRDefault="00F940EB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F940E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artwork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’s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subject matter using art element vocabulary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 is evident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title’s impact 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F940E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using art element vocabulary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appears to be little understanding or investigation of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the title’s impact on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art using art element 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understanding of the title’s impact on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work is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emerging and </w:t>
            </w:r>
            <w:proofErr w:type="gramStart"/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narrow</w:t>
            </w:r>
            <w:proofErr w:type="gramEnd"/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art using art element 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evidence of the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understanding of the title’s impact on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>essful description of the art using element vocabulary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and a clear understan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ding of the title’s impact on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F940EB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Analysis </w:t>
            </w:r>
            <w:r w:rsidR="000466E0">
              <w:rPr>
                <w:rFonts w:ascii="Times New Roman" w:eastAsia="Times New Roman" w:hAnsi="Times New Roman"/>
                <w:sz w:val="24"/>
                <w:szCs w:val="24"/>
              </w:rPr>
              <w:t>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analysis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artwork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using art principle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vocabulary. 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relationships among visual elements 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analysis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art using art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principle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vocabulary is provided,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but there appears to be littl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e understanding or investigation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relationships among visual elements in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analysis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of the art using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 principle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relationships among visual elements in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 artist’s work is </w:t>
            </w:r>
            <w:r w:rsidR="002F6B8C">
              <w:rPr>
                <w:rFonts w:ascii="Times New Roman" w:eastAsia="Times New Roman" w:hAnsi="Times New Roman"/>
                <w:sz w:val="16"/>
                <w:szCs w:val="16"/>
              </w:rPr>
              <w:t xml:space="preserve">emerging and </w:t>
            </w:r>
            <w:proofErr w:type="gramStart"/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narrow</w:t>
            </w:r>
            <w:proofErr w:type="gramEnd"/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analysis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of the art using art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principle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relationships among visual elements in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 successful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analysis of the art using principle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vocabulary and a clear understanding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of the relationships among visual elements 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 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Interpretation</w:t>
            </w:r>
            <w:r w:rsidR="00C35DE9">
              <w:rPr>
                <w:rFonts w:ascii="Times New Roman" w:eastAsia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Artwork</w:t>
            </w:r>
          </w:p>
          <w:p w:rsidR="00F940EB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0EB" w:rsidRPr="002B72E1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21" w:rsidRDefault="00F51A21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or no interpretation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artwork’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s meaning and no evidence of personal connection</w:t>
            </w:r>
            <w:r w:rsidR="002F6B8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is some interpretation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art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work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’s meaning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 xml:space="preserve">but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personal connection is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some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interpretation of the artwork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’s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meaning,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but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personal connection is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minimal.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is interpretation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artwork’s meaning 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personal connection is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86660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clear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interpretation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of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artwork’s meaning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and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personal connection is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F940EB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0EB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Evaluation 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Default="00F51A21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no personal evaluation of the artwork and no suggestions on improvements that the artist could make to create a more successful piece.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personal evaluation of the artwork, but the suggestions on improvements that the artist could make to create a more successful piece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some personal evaluation of the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artwork,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suggestions on improvements that the artist could make to create a more successful piece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personal evaluation of the artwork and the suggestions on improvements are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evaluation of the artwork and the suggestions on improvements are 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Total score:   </w:t>
      </w:r>
      <w:r w:rsidR="00F51A21">
        <w:rPr>
          <w:rFonts w:ascii="Times New Roman" w:eastAsia="Times New Roman" w:hAnsi="Times New Roman" w:cs="Times New Roman"/>
          <w:sz w:val="20"/>
          <w:szCs w:val="20"/>
        </w:rPr>
        <w:t xml:space="preserve">        /20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F6B8C"/>
    <w:rsid w:val="005F651C"/>
    <w:rsid w:val="00A96E2C"/>
    <w:rsid w:val="00B86660"/>
    <w:rsid w:val="00BD27C5"/>
    <w:rsid w:val="00C35DE9"/>
    <w:rsid w:val="00EB221A"/>
    <w:rsid w:val="00F51A21"/>
    <w:rsid w:val="00F940EB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Judith Condon</cp:lastModifiedBy>
  <cp:revision>2</cp:revision>
  <dcterms:created xsi:type="dcterms:W3CDTF">2013-10-16T18:19:00Z</dcterms:created>
  <dcterms:modified xsi:type="dcterms:W3CDTF">2013-10-16T18:19:00Z</dcterms:modified>
</cp:coreProperties>
</file>